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DA002" w14:textId="1DF3AFFC" w:rsidR="00FC0522" w:rsidRPr="009D6C14" w:rsidRDefault="00FC0522" w:rsidP="00FC0522">
      <w:pPr>
        <w:rPr>
          <w:sz w:val="32"/>
          <w:szCs w:val="32"/>
        </w:rPr>
      </w:pPr>
      <w:r>
        <w:rPr>
          <w:noProof/>
          <w:lang w:val="en-US"/>
        </w:rPr>
        <mc:AlternateContent>
          <mc:Choice Requires="wps">
            <w:drawing>
              <wp:anchor distT="0" distB="0" distL="114300" distR="114300" simplePos="0" relativeHeight="251659264" behindDoc="0" locked="0" layoutInCell="1" allowOverlap="1" wp14:anchorId="11825E96" wp14:editId="667E3429">
                <wp:simplePos x="0" y="0"/>
                <wp:positionH relativeFrom="margin">
                  <wp:align>center</wp:align>
                </wp:positionH>
                <wp:positionV relativeFrom="paragraph">
                  <wp:posOffset>581660</wp:posOffset>
                </wp:positionV>
                <wp:extent cx="4033520" cy="916940"/>
                <wp:effectExtent l="0" t="0" r="508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3520" cy="916940"/>
                        </a:xfrm>
                        <a:prstGeom prst="rect">
                          <a:avLst/>
                        </a:prstGeom>
                        <a:solidFill>
                          <a:srgbClr val="FFFFFF"/>
                        </a:solidFill>
                        <a:ln w="9525">
                          <a:noFill/>
                          <a:miter lim="800000"/>
                          <a:headEnd/>
                          <a:tailEnd/>
                        </a:ln>
                      </wps:spPr>
                      <wps:txbx>
                        <w:txbxContent>
                          <w:p w14:paraId="30B02BF3" w14:textId="4E35124F" w:rsidR="00F2342B" w:rsidRPr="00F646DD" w:rsidRDefault="00151AE4" w:rsidP="003B2180">
                            <w:pPr>
                              <w:pStyle w:val="Title"/>
                              <w:rPr>
                                <w:rFonts w:eastAsia="FangSong"/>
                              </w:rPr>
                            </w:pPr>
                            <w:r>
                              <w:rPr>
                                <w:rFonts w:eastAsia="FangSong"/>
                              </w:rPr>
                              <w:t xml:space="preserve">Neurodiversity </w:t>
                            </w:r>
                            <w:r w:rsidR="00F646DD" w:rsidRPr="00F646DD">
                              <w:rPr>
                                <w:rFonts w:eastAsia="FangSong"/>
                              </w:rPr>
                              <w:t>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825E96" id="_x0000_t202" coordsize="21600,21600" o:spt="202" path="m,l,21600r21600,l21600,xe">
                <v:stroke joinstyle="miter"/>
                <v:path gradientshapeok="t" o:connecttype="rect"/>
              </v:shapetype>
              <v:shape id="Text Box 2" o:spid="_x0000_s1026" type="#_x0000_t202" style="position:absolute;margin-left:0;margin-top:45.8pt;width:317.6pt;height:72.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" stroked="f">
                <v:textbox>
                  <w:txbxContent>
                    <w:p w14:paraId="30B02BF3" w14:textId="4E35124F" w:rsidR="00F2342B" w:rsidRPr="00F646DD" w:rsidRDefault="00151AE4" w:rsidP="003B2180">
                      <w:pPr>
                        <w:pStyle w:val="Title"/>
                        <w:rPr>
                          <w:rFonts w:eastAsia="FangSong"/>
                        </w:rPr>
                      </w:pPr>
                      <w:r>
                        <w:rPr>
                          <w:rFonts w:eastAsia="FangSong"/>
                        </w:rPr>
                        <w:t xml:space="preserve">Neurodiversity </w:t>
                      </w:r>
                      <w:r w:rsidR="00F646DD" w:rsidRPr="00F646DD">
                        <w:rPr>
                          <w:rFonts w:eastAsia="FangSong"/>
                        </w:rPr>
                        <w:t>Policy</w:t>
                      </w:r>
                    </w:p>
                  </w:txbxContent>
                </v:textbox>
                <w10:wrap anchorx="margin"/>
              </v:shape>
            </w:pict>
          </mc:Fallback>
        </mc:AlternateContent>
      </w:r>
      <w:r>
        <w:rPr>
          <w:noProof/>
          <w:lang w:val="en-US"/>
        </w:rPr>
        <w:drawing>
          <wp:inline distT="0" distB="0" distL="0" distR="0" wp14:anchorId="4F46CFD4" wp14:editId="6A9FCBA2">
            <wp:extent cx="1256400" cy="1260000"/>
            <wp:effectExtent l="0" t="0" r="1270" b="0"/>
            <wp:docPr id="2" name="Picture 2" descr="C:\Users\me\Documents\Joanne\Documents\CS Utility\Logos\CS Logos\CS Utility 300dpi_2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Documents\Joanne\Documents\CS Utility\Logos\CS Logos\CS Utility 300dpi_2_co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6400" cy="1260000"/>
                    </a:xfrm>
                    <a:prstGeom prst="rect">
                      <a:avLst/>
                    </a:prstGeom>
                    <a:noFill/>
                    <a:ln>
                      <a:noFill/>
                    </a:ln>
                  </pic:spPr>
                </pic:pic>
              </a:graphicData>
            </a:graphic>
          </wp:inline>
        </w:drawing>
      </w:r>
      <w:r>
        <w:tab/>
      </w:r>
      <w:r w:rsidRPr="003B2180">
        <w:rPr>
          <w:rStyle w:val="TitleChar"/>
        </w:rPr>
        <w:tab/>
      </w:r>
      <w:r w:rsidRPr="003B2180">
        <w:rPr>
          <w:rStyle w:val="TitleChar"/>
        </w:rPr>
        <w:tab/>
      </w:r>
      <w:r w:rsidRPr="003B2180">
        <w:rPr>
          <w:rStyle w:val="TitleChar"/>
        </w:rPr>
        <w:tab/>
      </w:r>
      <w:r w:rsidRPr="003B2180">
        <w:rPr>
          <w:rStyle w:val="TitleChar"/>
        </w:rPr>
        <w:tab/>
      </w:r>
      <w:r w:rsidRPr="003B2180">
        <w:rPr>
          <w:rStyle w:val="TitleChar"/>
        </w:rPr>
        <w:tab/>
      </w:r>
      <w:r w:rsidRPr="003B2180">
        <w:rPr>
          <w:rStyle w:val="TitleChar"/>
        </w:rPr>
        <w:tab/>
      </w:r>
      <w:r w:rsidRPr="003B2180">
        <w:rPr>
          <w:rStyle w:val="TitleChar"/>
        </w:rPr>
        <w:tab/>
      </w:r>
    </w:p>
    <w:p w14:paraId="2CB05D92" w14:textId="77777777" w:rsidR="00FC0522" w:rsidRPr="00CD63CC" w:rsidRDefault="00FC0522" w:rsidP="00FC0522">
      <w:pPr>
        <w:rPr>
          <w:sz w:val="24"/>
          <w:szCs w:val="24"/>
        </w:rPr>
      </w:pPr>
    </w:p>
    <w:p w14:paraId="0DA25A5E" w14:textId="77777777" w:rsidR="007C61CF" w:rsidRPr="007C61CF" w:rsidRDefault="007C61CF" w:rsidP="007C61CF">
      <w:pPr>
        <w:pStyle w:val="NoSpacing"/>
        <w:rPr>
          <w:b/>
          <w:bCs/>
        </w:rPr>
      </w:pPr>
      <w:r w:rsidRPr="007C61CF">
        <w:rPr>
          <w:b/>
          <w:bCs/>
        </w:rPr>
        <w:t>1. Commitment to Diversity and Inclusion</w:t>
      </w:r>
    </w:p>
    <w:p w14:paraId="28719062" w14:textId="77777777" w:rsidR="007C61CF" w:rsidRPr="007C61CF" w:rsidRDefault="007C61CF" w:rsidP="007C61CF">
      <w:pPr>
        <w:pStyle w:val="NoSpacing"/>
      </w:pPr>
      <w:r w:rsidRPr="007C61CF">
        <w:t>At CS Utility Contractors Ltd (CSU), we are committed to fostering a workplace culture that values, respects, and celebrates diversity in all its forms. We uphold the principles of respect, cooperation and integrity and ensure every employee is treated with dignity and fairness.</w:t>
      </w:r>
    </w:p>
    <w:p w14:paraId="27BCB6FA" w14:textId="77777777" w:rsidR="007C61CF" w:rsidRPr="007C61CF" w:rsidRDefault="007C61CF" w:rsidP="007C61CF">
      <w:pPr>
        <w:pStyle w:val="NoSpacing"/>
      </w:pPr>
      <w:r w:rsidRPr="007C61CF">
        <w:t>We take proactive steps to challenge and remove discrimination, inequality, and unfair treatment — whether intentional or unintentional, direct or indirect. Our aim is to provide equal access to opportunities and remove barriers to inclusion.</w:t>
      </w:r>
      <w:r w:rsidRPr="007C61CF">
        <w:br/>
        <w:t xml:space="preserve">This policy sits alongside, and should be read in conjunction with, the Company’s </w:t>
      </w:r>
      <w:r w:rsidRPr="007C61CF">
        <w:rPr>
          <w:b/>
          <w:bCs/>
        </w:rPr>
        <w:t>Equality, Diversity and Inclusion (EDI) Policy</w:t>
      </w:r>
      <w:r w:rsidRPr="007C61CF">
        <w:t>.</w:t>
      </w:r>
    </w:p>
    <w:p w14:paraId="0DC45137" w14:textId="33D980E4" w:rsidR="007C61CF" w:rsidRPr="007C61CF" w:rsidRDefault="007C61CF" w:rsidP="007C61CF">
      <w:pPr>
        <w:pStyle w:val="NoSpacing"/>
      </w:pPr>
    </w:p>
    <w:p w14:paraId="3F6C6DE4" w14:textId="77777777" w:rsidR="007C61CF" w:rsidRPr="007C61CF" w:rsidRDefault="007C61CF" w:rsidP="007C61CF">
      <w:pPr>
        <w:pStyle w:val="NoSpacing"/>
        <w:rPr>
          <w:b/>
          <w:bCs/>
        </w:rPr>
      </w:pPr>
      <w:r w:rsidRPr="007C61CF">
        <w:rPr>
          <w:b/>
          <w:bCs/>
        </w:rPr>
        <w:t>2. Understanding Neurodiversity</w:t>
      </w:r>
    </w:p>
    <w:p w14:paraId="3DC0A589" w14:textId="77777777" w:rsidR="007C61CF" w:rsidRPr="007C61CF" w:rsidRDefault="007C61CF" w:rsidP="007C61CF">
      <w:pPr>
        <w:pStyle w:val="NoSpacing"/>
      </w:pPr>
      <w:r w:rsidRPr="007C61CF">
        <w:t>Neurodiversity recognises that individuals naturally process information, think, and learn differently. It includes, but is not limited to:</w:t>
      </w:r>
    </w:p>
    <w:p w14:paraId="229B4D37" w14:textId="77777777" w:rsidR="007C61CF" w:rsidRPr="007C61CF" w:rsidRDefault="007C61CF" w:rsidP="007C61CF">
      <w:pPr>
        <w:pStyle w:val="NoSpacing"/>
        <w:numPr>
          <w:ilvl w:val="0"/>
          <w:numId w:val="10"/>
        </w:numPr>
      </w:pPr>
      <w:r w:rsidRPr="007C61CF">
        <w:t>Dyslexia</w:t>
      </w:r>
    </w:p>
    <w:p w14:paraId="3AEE05A8" w14:textId="77777777" w:rsidR="007C61CF" w:rsidRPr="007C61CF" w:rsidRDefault="007C61CF" w:rsidP="007C61CF">
      <w:pPr>
        <w:pStyle w:val="NoSpacing"/>
        <w:numPr>
          <w:ilvl w:val="0"/>
          <w:numId w:val="10"/>
        </w:numPr>
      </w:pPr>
      <w:r w:rsidRPr="007C61CF">
        <w:t>Dyspraxia</w:t>
      </w:r>
    </w:p>
    <w:p w14:paraId="585BCD3B" w14:textId="77777777" w:rsidR="007C61CF" w:rsidRPr="007C61CF" w:rsidRDefault="007C61CF" w:rsidP="007C61CF">
      <w:pPr>
        <w:pStyle w:val="NoSpacing"/>
        <w:numPr>
          <w:ilvl w:val="0"/>
          <w:numId w:val="10"/>
        </w:numPr>
      </w:pPr>
      <w:r w:rsidRPr="007C61CF">
        <w:t>Autism / Autistic Spectrum Conditions</w:t>
      </w:r>
    </w:p>
    <w:p w14:paraId="54DD2A0C" w14:textId="77777777" w:rsidR="007C61CF" w:rsidRPr="007C61CF" w:rsidRDefault="007C61CF" w:rsidP="007C61CF">
      <w:pPr>
        <w:pStyle w:val="NoSpacing"/>
        <w:numPr>
          <w:ilvl w:val="0"/>
          <w:numId w:val="10"/>
        </w:numPr>
      </w:pPr>
      <w:r w:rsidRPr="007C61CF">
        <w:t>Attention Deficit Disorders (ADD / ADHD)</w:t>
      </w:r>
    </w:p>
    <w:p w14:paraId="43A2F17D" w14:textId="77777777" w:rsidR="007C61CF" w:rsidRPr="007C61CF" w:rsidRDefault="007C61CF" w:rsidP="007C61CF">
      <w:pPr>
        <w:pStyle w:val="NoSpacing"/>
        <w:numPr>
          <w:ilvl w:val="0"/>
          <w:numId w:val="10"/>
        </w:numPr>
      </w:pPr>
      <w:r w:rsidRPr="007C61CF">
        <w:t>Tourette Syndrome</w:t>
      </w:r>
    </w:p>
    <w:p w14:paraId="5D172E29" w14:textId="77777777" w:rsidR="007C61CF" w:rsidRPr="007C61CF" w:rsidRDefault="007C61CF" w:rsidP="007C61CF">
      <w:pPr>
        <w:pStyle w:val="NoSpacing"/>
        <w:numPr>
          <w:ilvl w:val="0"/>
          <w:numId w:val="10"/>
        </w:numPr>
      </w:pPr>
      <w:r w:rsidRPr="007C61CF">
        <w:t>Dyscalculia</w:t>
      </w:r>
    </w:p>
    <w:p w14:paraId="5D52CE5C" w14:textId="77777777" w:rsidR="007C61CF" w:rsidRPr="007C61CF" w:rsidRDefault="007C61CF" w:rsidP="007C61CF">
      <w:pPr>
        <w:pStyle w:val="NoSpacing"/>
        <w:numPr>
          <w:ilvl w:val="0"/>
          <w:numId w:val="10"/>
        </w:numPr>
      </w:pPr>
      <w:r w:rsidRPr="007C61CF">
        <w:t>Other neurological differences</w:t>
      </w:r>
    </w:p>
    <w:p w14:paraId="4CC375BD" w14:textId="77777777" w:rsidR="007C61CF" w:rsidRPr="007C61CF" w:rsidRDefault="007C61CF" w:rsidP="007C61CF">
      <w:pPr>
        <w:pStyle w:val="NoSpacing"/>
      </w:pPr>
      <w:r w:rsidRPr="007C61CF">
        <w:t xml:space="preserve">Around </w:t>
      </w:r>
      <w:r w:rsidRPr="007C61CF">
        <w:rPr>
          <w:b/>
          <w:bCs/>
        </w:rPr>
        <w:t>15% of the UK population is neurodivergent</w:t>
      </w:r>
      <w:r w:rsidRPr="007C61CF">
        <w:t>, and these conditions exist on a spectrum, meaning no two individuals experience them in the same way.</w:t>
      </w:r>
    </w:p>
    <w:p w14:paraId="0188B718" w14:textId="77777777" w:rsidR="007C61CF" w:rsidRPr="007C61CF" w:rsidRDefault="007C61CF" w:rsidP="007C61CF">
      <w:pPr>
        <w:pStyle w:val="NoSpacing"/>
      </w:pPr>
      <w:r w:rsidRPr="007C61CF">
        <w:t xml:space="preserve">Neurodivergence is </w:t>
      </w:r>
      <w:r w:rsidRPr="007C61CF">
        <w:rPr>
          <w:b/>
          <w:bCs/>
        </w:rPr>
        <w:t>not an illness</w:t>
      </w:r>
      <w:r w:rsidRPr="007C61CF">
        <w:t xml:space="preserve"> and cannot be "cured." With the correct support, individuals can develop effective strategies to manage challenges—such as using digital reminders or noise-cancelling headphones to reduce sensory overload.</w:t>
      </w:r>
    </w:p>
    <w:p w14:paraId="74E4C89D" w14:textId="77777777" w:rsidR="007C61CF" w:rsidRPr="007C61CF" w:rsidRDefault="007C61CF" w:rsidP="007C61CF">
      <w:pPr>
        <w:pStyle w:val="NoSpacing"/>
      </w:pPr>
      <w:r w:rsidRPr="007C61CF">
        <w:t>Neurodivergence is often invisible. Many individuals develop coping mechanisms that may hide their difficulties, and neurodivergent people may also experience co-occurring conditions such as anxiety or depression.</w:t>
      </w:r>
    </w:p>
    <w:p w14:paraId="07F13862" w14:textId="3A328711" w:rsidR="007C61CF" w:rsidRPr="007C61CF" w:rsidRDefault="007C61CF" w:rsidP="007C61CF">
      <w:pPr>
        <w:pStyle w:val="NoSpacing"/>
      </w:pPr>
    </w:p>
    <w:p w14:paraId="4C0CC4AB" w14:textId="77777777" w:rsidR="007C61CF" w:rsidRPr="007C61CF" w:rsidRDefault="007C61CF" w:rsidP="007C61CF">
      <w:pPr>
        <w:pStyle w:val="NoSpacing"/>
        <w:rPr>
          <w:b/>
          <w:bCs/>
        </w:rPr>
      </w:pPr>
      <w:r w:rsidRPr="007C61CF">
        <w:rPr>
          <w:b/>
          <w:bCs/>
        </w:rPr>
        <w:t>3. Creating a Supportive Environment</w:t>
      </w:r>
    </w:p>
    <w:p w14:paraId="20E1AF63" w14:textId="77777777" w:rsidR="007C61CF" w:rsidRPr="007C61CF" w:rsidRDefault="007C61CF" w:rsidP="007C61CF">
      <w:pPr>
        <w:pStyle w:val="NoSpacing"/>
      </w:pPr>
      <w:r w:rsidRPr="007C61CF">
        <w:t>Managers play a crucial role in cultivating a workplace where neurodivergent employees feel understood, valued and empowered to succeed.</w:t>
      </w:r>
    </w:p>
    <w:p w14:paraId="0D122596" w14:textId="77777777" w:rsidR="007C61CF" w:rsidRPr="007C61CF" w:rsidRDefault="007C61CF" w:rsidP="007C61CF">
      <w:pPr>
        <w:pStyle w:val="NoSpacing"/>
        <w:rPr>
          <w:b/>
          <w:bCs/>
        </w:rPr>
      </w:pPr>
      <w:r w:rsidRPr="007C61CF">
        <w:rPr>
          <w:b/>
          <w:bCs/>
        </w:rPr>
        <w:t>Do’s – Best Practice for Managers</w:t>
      </w:r>
    </w:p>
    <w:p w14:paraId="0C389CF3" w14:textId="77777777" w:rsidR="007C61CF" w:rsidRPr="007C61CF" w:rsidRDefault="007C61CF" w:rsidP="007C61CF">
      <w:pPr>
        <w:pStyle w:val="NoSpacing"/>
      </w:pPr>
      <w:r w:rsidRPr="007C61CF">
        <w:t>Managers should:</w:t>
      </w:r>
    </w:p>
    <w:p w14:paraId="72E9C541" w14:textId="77777777" w:rsidR="007C61CF" w:rsidRPr="007C61CF" w:rsidRDefault="007C61CF" w:rsidP="007C61CF">
      <w:pPr>
        <w:pStyle w:val="NoSpacing"/>
        <w:numPr>
          <w:ilvl w:val="0"/>
          <w:numId w:val="11"/>
        </w:numPr>
      </w:pPr>
      <w:r w:rsidRPr="007C61CF">
        <w:t>Hold private, confidential conversations about support needs.</w:t>
      </w:r>
    </w:p>
    <w:p w14:paraId="0D414A8C" w14:textId="77777777" w:rsidR="007C61CF" w:rsidRPr="007C61CF" w:rsidRDefault="007C61CF" w:rsidP="007C61CF">
      <w:pPr>
        <w:pStyle w:val="NoSpacing"/>
        <w:numPr>
          <w:ilvl w:val="0"/>
          <w:numId w:val="11"/>
        </w:numPr>
      </w:pPr>
      <w:r w:rsidRPr="007C61CF">
        <w:t>Develop awareness and understanding of neurodiversity.</w:t>
      </w:r>
    </w:p>
    <w:p w14:paraId="1CD5A11F" w14:textId="77777777" w:rsidR="007C61CF" w:rsidRPr="007C61CF" w:rsidRDefault="007C61CF" w:rsidP="007C61CF">
      <w:pPr>
        <w:pStyle w:val="NoSpacing"/>
        <w:numPr>
          <w:ilvl w:val="0"/>
          <w:numId w:val="11"/>
        </w:numPr>
      </w:pPr>
      <w:r w:rsidRPr="007C61CF">
        <w:t xml:space="preserve">Take time to understand how neurodivergence impacts </w:t>
      </w:r>
      <w:proofErr w:type="gramStart"/>
      <w:r w:rsidRPr="007C61CF">
        <w:t>each individual</w:t>
      </w:r>
      <w:proofErr w:type="gramEnd"/>
      <w:r w:rsidRPr="007C61CF">
        <w:t xml:space="preserve"> differently.</w:t>
      </w:r>
    </w:p>
    <w:p w14:paraId="4A92E7F2" w14:textId="77777777" w:rsidR="007C61CF" w:rsidRPr="007C61CF" w:rsidRDefault="007C61CF" w:rsidP="007C61CF">
      <w:pPr>
        <w:pStyle w:val="NoSpacing"/>
        <w:numPr>
          <w:ilvl w:val="0"/>
          <w:numId w:val="11"/>
        </w:numPr>
      </w:pPr>
      <w:r w:rsidRPr="007C61CF">
        <w:t>Communicate clearly and consistently.</w:t>
      </w:r>
    </w:p>
    <w:p w14:paraId="00D905E9" w14:textId="77777777" w:rsidR="007C61CF" w:rsidRPr="007C61CF" w:rsidRDefault="007C61CF" w:rsidP="007C61CF">
      <w:pPr>
        <w:pStyle w:val="NoSpacing"/>
        <w:numPr>
          <w:ilvl w:val="0"/>
          <w:numId w:val="11"/>
        </w:numPr>
      </w:pPr>
      <w:r w:rsidRPr="007C61CF">
        <w:t>Maintain an open and approachable manner.</w:t>
      </w:r>
    </w:p>
    <w:p w14:paraId="20C46AB4" w14:textId="77777777" w:rsidR="007C61CF" w:rsidRPr="007C61CF" w:rsidRDefault="007C61CF" w:rsidP="007C61CF">
      <w:pPr>
        <w:pStyle w:val="NoSpacing"/>
        <w:numPr>
          <w:ilvl w:val="0"/>
          <w:numId w:val="11"/>
        </w:numPr>
      </w:pPr>
      <w:r w:rsidRPr="007C61CF">
        <w:t>Build positive working relationships and trust.</w:t>
      </w:r>
    </w:p>
    <w:p w14:paraId="2A3E3191" w14:textId="77777777" w:rsidR="007C61CF" w:rsidRPr="007C61CF" w:rsidRDefault="007C61CF" w:rsidP="007C61CF">
      <w:pPr>
        <w:pStyle w:val="NoSpacing"/>
        <w:numPr>
          <w:ilvl w:val="0"/>
          <w:numId w:val="11"/>
        </w:numPr>
      </w:pPr>
      <w:r w:rsidRPr="007C61CF">
        <w:t>Treat everyone as an individual with unique needs and strengths.</w:t>
      </w:r>
    </w:p>
    <w:p w14:paraId="2F00532B" w14:textId="77777777" w:rsidR="007C61CF" w:rsidRPr="007C61CF" w:rsidRDefault="007C61CF" w:rsidP="007C61CF">
      <w:pPr>
        <w:pStyle w:val="NoSpacing"/>
        <w:numPr>
          <w:ilvl w:val="0"/>
          <w:numId w:val="11"/>
        </w:numPr>
      </w:pPr>
      <w:r w:rsidRPr="007C61CF">
        <w:t>Create an environment where employees feel safe raising concerns.</w:t>
      </w:r>
    </w:p>
    <w:p w14:paraId="3A835F64" w14:textId="77777777" w:rsidR="007C61CF" w:rsidRPr="007C61CF" w:rsidRDefault="007C61CF" w:rsidP="007C61CF">
      <w:pPr>
        <w:pStyle w:val="NoSpacing"/>
        <w:numPr>
          <w:ilvl w:val="0"/>
          <w:numId w:val="11"/>
        </w:numPr>
      </w:pPr>
      <w:r w:rsidRPr="007C61CF">
        <w:t>Monitor workloads to prevent excessive pressure or unrealistic deadlines.</w:t>
      </w:r>
    </w:p>
    <w:p w14:paraId="5CEF5B73" w14:textId="77777777" w:rsidR="007C61CF" w:rsidRPr="007C61CF" w:rsidRDefault="007C61CF" w:rsidP="007C61CF">
      <w:pPr>
        <w:pStyle w:val="NoSpacing"/>
        <w:numPr>
          <w:ilvl w:val="0"/>
          <w:numId w:val="11"/>
        </w:numPr>
      </w:pPr>
      <w:r w:rsidRPr="007C61CF">
        <w:t>Schedule regular one-to-one meetings to review progress and challenges.</w:t>
      </w:r>
    </w:p>
    <w:p w14:paraId="6594444F" w14:textId="77777777" w:rsidR="007C61CF" w:rsidRPr="007C61CF" w:rsidRDefault="007C61CF" w:rsidP="007C61CF">
      <w:pPr>
        <w:pStyle w:val="NoSpacing"/>
        <w:numPr>
          <w:ilvl w:val="0"/>
          <w:numId w:val="11"/>
        </w:numPr>
      </w:pPr>
      <w:r w:rsidRPr="007C61CF">
        <w:t>Reflect on ways to continuously improve support and inclusion.</w:t>
      </w:r>
    </w:p>
    <w:p w14:paraId="040D7C5F" w14:textId="77777777" w:rsidR="007C61CF" w:rsidRPr="007C61CF" w:rsidRDefault="007C61CF" w:rsidP="007C61CF">
      <w:pPr>
        <w:pStyle w:val="NoSpacing"/>
      </w:pPr>
      <w:r w:rsidRPr="007C61CF">
        <w:t xml:space="preserve">These practices support all </w:t>
      </w:r>
      <w:proofErr w:type="gramStart"/>
      <w:r w:rsidRPr="007C61CF">
        <w:t>employees, but</w:t>
      </w:r>
      <w:proofErr w:type="gramEnd"/>
      <w:r w:rsidRPr="007C61CF">
        <w:t xml:space="preserve"> are especially beneficial for neurodivergent individuals.</w:t>
      </w:r>
    </w:p>
    <w:p w14:paraId="1468EAAF" w14:textId="77777777" w:rsidR="007C61CF" w:rsidRPr="007C61CF" w:rsidRDefault="007C61CF" w:rsidP="007C61CF">
      <w:pPr>
        <w:pStyle w:val="NoSpacing"/>
        <w:rPr>
          <w:b/>
          <w:bCs/>
        </w:rPr>
      </w:pPr>
      <w:r w:rsidRPr="007C61CF">
        <w:rPr>
          <w:b/>
          <w:bCs/>
        </w:rPr>
        <w:lastRenderedPageBreak/>
        <w:t>Don’ts – What Managers Should Avoid</w:t>
      </w:r>
    </w:p>
    <w:p w14:paraId="17FFE876" w14:textId="77777777" w:rsidR="007C61CF" w:rsidRPr="007C61CF" w:rsidRDefault="007C61CF" w:rsidP="007C61CF">
      <w:pPr>
        <w:pStyle w:val="NoSpacing"/>
      </w:pPr>
      <w:r w:rsidRPr="007C61CF">
        <w:t>Managers must not:</w:t>
      </w:r>
    </w:p>
    <w:p w14:paraId="4F85A2C6" w14:textId="77777777" w:rsidR="007C61CF" w:rsidRPr="007C61CF" w:rsidRDefault="007C61CF" w:rsidP="007C61CF">
      <w:pPr>
        <w:pStyle w:val="NoSpacing"/>
        <w:numPr>
          <w:ilvl w:val="0"/>
          <w:numId w:val="12"/>
        </w:numPr>
      </w:pPr>
      <w:r w:rsidRPr="007C61CF">
        <w:t>Assume an employee is neurodivergent.</w:t>
      </w:r>
    </w:p>
    <w:p w14:paraId="54C270B4" w14:textId="77777777" w:rsidR="007C61CF" w:rsidRPr="007C61CF" w:rsidRDefault="007C61CF" w:rsidP="007C61CF">
      <w:pPr>
        <w:pStyle w:val="NoSpacing"/>
        <w:numPr>
          <w:ilvl w:val="0"/>
          <w:numId w:val="12"/>
        </w:numPr>
      </w:pPr>
      <w:r w:rsidRPr="007C61CF">
        <w:t>Attempt to diagnose a condition.</w:t>
      </w:r>
    </w:p>
    <w:p w14:paraId="426A7D03" w14:textId="77777777" w:rsidR="007C61CF" w:rsidRPr="007C61CF" w:rsidRDefault="007C61CF" w:rsidP="007C61CF">
      <w:pPr>
        <w:pStyle w:val="NoSpacing"/>
        <w:numPr>
          <w:ilvl w:val="0"/>
          <w:numId w:val="12"/>
        </w:numPr>
      </w:pPr>
      <w:r w:rsidRPr="007C61CF">
        <w:t>Make assumptions about how neurodivergence affects a person.</w:t>
      </w:r>
    </w:p>
    <w:p w14:paraId="0A4AAAD8" w14:textId="77777777" w:rsidR="007C61CF" w:rsidRPr="007C61CF" w:rsidRDefault="007C61CF" w:rsidP="007C61CF">
      <w:pPr>
        <w:pStyle w:val="NoSpacing"/>
        <w:numPr>
          <w:ilvl w:val="0"/>
          <w:numId w:val="12"/>
        </w:numPr>
      </w:pPr>
      <w:r w:rsidRPr="007C61CF">
        <w:t>Expect an individual to change their condition or work in the same way as others.</w:t>
      </w:r>
    </w:p>
    <w:p w14:paraId="6D88D045" w14:textId="77777777" w:rsidR="007C61CF" w:rsidRPr="007C61CF" w:rsidRDefault="007C61CF" w:rsidP="007C61CF">
      <w:pPr>
        <w:pStyle w:val="NoSpacing"/>
      </w:pPr>
      <w:r w:rsidRPr="007C61CF">
        <w:t>If concerns arise about performance, managers should give the employee an opportunity to explain contributing factors and work collaboratively toward solutions.</w:t>
      </w:r>
    </w:p>
    <w:p w14:paraId="34AAE2ED" w14:textId="77777777" w:rsidR="007C61CF" w:rsidRPr="007C61CF" w:rsidRDefault="007C61CF" w:rsidP="007C61CF">
      <w:pPr>
        <w:pStyle w:val="NoSpacing"/>
      </w:pPr>
      <w:r w:rsidRPr="007C61CF">
        <w:t>Managers are not expected to be neurodiversity experts but should access trusted resources and seek guidance from employees about their specific needs.</w:t>
      </w:r>
    </w:p>
    <w:p w14:paraId="1AD05B51" w14:textId="3F7461A8" w:rsidR="007C61CF" w:rsidRPr="007C61CF" w:rsidRDefault="007C61CF" w:rsidP="007C61CF">
      <w:pPr>
        <w:pStyle w:val="NoSpacing"/>
      </w:pPr>
    </w:p>
    <w:p w14:paraId="464BF543" w14:textId="77777777" w:rsidR="007C61CF" w:rsidRPr="007C61CF" w:rsidRDefault="007C61CF" w:rsidP="007C61CF">
      <w:pPr>
        <w:pStyle w:val="NoSpacing"/>
        <w:rPr>
          <w:b/>
          <w:bCs/>
        </w:rPr>
      </w:pPr>
      <w:r w:rsidRPr="007C61CF">
        <w:rPr>
          <w:b/>
          <w:bCs/>
        </w:rPr>
        <w:t>4. Support for Neurodivergent Employees</w:t>
      </w:r>
    </w:p>
    <w:p w14:paraId="6B0CE613" w14:textId="77777777" w:rsidR="007C61CF" w:rsidRPr="007C61CF" w:rsidRDefault="007C61CF" w:rsidP="007C61CF">
      <w:pPr>
        <w:pStyle w:val="NoSpacing"/>
      </w:pPr>
      <w:r w:rsidRPr="007C61CF">
        <w:t>CSU is committed to:</w:t>
      </w:r>
    </w:p>
    <w:p w14:paraId="68E365D4" w14:textId="77777777" w:rsidR="007C61CF" w:rsidRPr="007C61CF" w:rsidRDefault="007C61CF" w:rsidP="007C61CF">
      <w:pPr>
        <w:pStyle w:val="NoSpacing"/>
        <w:numPr>
          <w:ilvl w:val="0"/>
          <w:numId w:val="13"/>
        </w:numPr>
      </w:pPr>
      <w:r w:rsidRPr="007C61CF">
        <w:t>Providing a safe, open and inclusive workplace.</w:t>
      </w:r>
    </w:p>
    <w:p w14:paraId="76C66AD3" w14:textId="77777777" w:rsidR="007C61CF" w:rsidRPr="007C61CF" w:rsidRDefault="007C61CF" w:rsidP="007C61CF">
      <w:pPr>
        <w:pStyle w:val="NoSpacing"/>
        <w:numPr>
          <w:ilvl w:val="0"/>
          <w:numId w:val="13"/>
        </w:numPr>
      </w:pPr>
      <w:r w:rsidRPr="007C61CF">
        <w:t>Ensuring employees feel comfortable discussing how they work best.</w:t>
      </w:r>
    </w:p>
    <w:p w14:paraId="34FD27AD" w14:textId="77777777" w:rsidR="007C61CF" w:rsidRPr="007C61CF" w:rsidRDefault="007C61CF" w:rsidP="007C61CF">
      <w:pPr>
        <w:pStyle w:val="NoSpacing"/>
        <w:numPr>
          <w:ilvl w:val="0"/>
          <w:numId w:val="13"/>
        </w:numPr>
      </w:pPr>
      <w:r w:rsidRPr="007C61CF">
        <w:t>Considering reasonable workplace adjustments where appropriate.</w:t>
      </w:r>
    </w:p>
    <w:p w14:paraId="6EE7D79C" w14:textId="77777777" w:rsidR="007C61CF" w:rsidRPr="007C61CF" w:rsidRDefault="007C61CF" w:rsidP="007C61CF">
      <w:pPr>
        <w:pStyle w:val="NoSpacing"/>
        <w:numPr>
          <w:ilvl w:val="0"/>
          <w:numId w:val="13"/>
        </w:numPr>
      </w:pPr>
      <w:r w:rsidRPr="007C61CF">
        <w:t>Reducing unnecessary barriers to performance.</w:t>
      </w:r>
    </w:p>
    <w:p w14:paraId="4F476B9D" w14:textId="77777777" w:rsidR="007C61CF" w:rsidRPr="007C61CF" w:rsidRDefault="007C61CF" w:rsidP="007C61CF">
      <w:pPr>
        <w:pStyle w:val="NoSpacing"/>
        <w:numPr>
          <w:ilvl w:val="0"/>
          <w:numId w:val="13"/>
        </w:numPr>
      </w:pPr>
      <w:r w:rsidRPr="007C61CF">
        <w:t>Encouraging open dialogue to support employee wellbeing.</w:t>
      </w:r>
    </w:p>
    <w:p w14:paraId="01F84E44" w14:textId="77777777" w:rsidR="007C61CF" w:rsidRPr="007C61CF" w:rsidRDefault="007C61CF" w:rsidP="007C61CF">
      <w:pPr>
        <w:pStyle w:val="NoSpacing"/>
      </w:pPr>
      <w:r w:rsidRPr="007C61CF">
        <w:t>Examples of adjustments may include:</w:t>
      </w:r>
    </w:p>
    <w:p w14:paraId="2DDF2D38" w14:textId="77777777" w:rsidR="007C61CF" w:rsidRPr="007C61CF" w:rsidRDefault="007C61CF" w:rsidP="007C61CF">
      <w:pPr>
        <w:pStyle w:val="NoSpacing"/>
        <w:numPr>
          <w:ilvl w:val="0"/>
          <w:numId w:val="14"/>
        </w:numPr>
      </w:pPr>
      <w:r w:rsidRPr="007C61CF">
        <w:t>Clear written instructions</w:t>
      </w:r>
    </w:p>
    <w:p w14:paraId="65D67EC2" w14:textId="77777777" w:rsidR="007C61CF" w:rsidRPr="007C61CF" w:rsidRDefault="007C61CF" w:rsidP="007C61CF">
      <w:pPr>
        <w:pStyle w:val="NoSpacing"/>
        <w:numPr>
          <w:ilvl w:val="0"/>
          <w:numId w:val="14"/>
        </w:numPr>
      </w:pPr>
      <w:r w:rsidRPr="007C61CF">
        <w:t>Noise-reducing equipment</w:t>
      </w:r>
    </w:p>
    <w:p w14:paraId="70C9B8E8" w14:textId="77777777" w:rsidR="007C61CF" w:rsidRPr="007C61CF" w:rsidRDefault="007C61CF" w:rsidP="007C61CF">
      <w:pPr>
        <w:pStyle w:val="NoSpacing"/>
        <w:numPr>
          <w:ilvl w:val="0"/>
          <w:numId w:val="14"/>
        </w:numPr>
      </w:pPr>
      <w:r w:rsidRPr="007C61CF">
        <w:t>Adjusted workload or extended deadlines where reasonable</w:t>
      </w:r>
    </w:p>
    <w:p w14:paraId="05C793B9" w14:textId="77777777" w:rsidR="007C61CF" w:rsidRPr="007C61CF" w:rsidRDefault="007C61CF" w:rsidP="007C61CF">
      <w:pPr>
        <w:pStyle w:val="NoSpacing"/>
        <w:numPr>
          <w:ilvl w:val="0"/>
          <w:numId w:val="14"/>
        </w:numPr>
      </w:pPr>
      <w:r w:rsidRPr="007C61CF">
        <w:t>Quiet spaces for focused work</w:t>
      </w:r>
    </w:p>
    <w:p w14:paraId="547AC200" w14:textId="77777777" w:rsidR="007C61CF" w:rsidRPr="007C61CF" w:rsidRDefault="007C61CF" w:rsidP="007C61CF">
      <w:pPr>
        <w:pStyle w:val="NoSpacing"/>
        <w:numPr>
          <w:ilvl w:val="0"/>
          <w:numId w:val="14"/>
        </w:numPr>
      </w:pPr>
      <w:r w:rsidRPr="007C61CF">
        <w:t>Changes to communication style</w:t>
      </w:r>
    </w:p>
    <w:p w14:paraId="047150C5" w14:textId="77777777" w:rsidR="007C61CF" w:rsidRPr="007C61CF" w:rsidRDefault="007C61CF" w:rsidP="007C61CF">
      <w:pPr>
        <w:pStyle w:val="NoSpacing"/>
      </w:pPr>
      <w:r w:rsidRPr="007C61CF">
        <w:t>Adjustments will always be considered on a case-by-case basis.</w:t>
      </w:r>
    </w:p>
    <w:p w14:paraId="0A345615" w14:textId="6ED332A2" w:rsidR="007C61CF" w:rsidRPr="007C61CF" w:rsidRDefault="007C61CF" w:rsidP="007C61CF">
      <w:pPr>
        <w:pStyle w:val="NoSpacing"/>
      </w:pPr>
    </w:p>
    <w:p w14:paraId="14D7262B" w14:textId="77777777" w:rsidR="007C61CF" w:rsidRPr="007C61CF" w:rsidRDefault="007C61CF" w:rsidP="007C61CF">
      <w:pPr>
        <w:pStyle w:val="NoSpacing"/>
        <w:rPr>
          <w:b/>
          <w:bCs/>
        </w:rPr>
      </w:pPr>
      <w:r w:rsidRPr="007C61CF">
        <w:rPr>
          <w:b/>
          <w:bCs/>
        </w:rPr>
        <w:t>5. Further Support and Resources</w:t>
      </w:r>
    </w:p>
    <w:p w14:paraId="1CDFFE7D" w14:textId="77777777" w:rsidR="007C61CF" w:rsidRPr="007C61CF" w:rsidRDefault="007C61CF" w:rsidP="007C61CF">
      <w:pPr>
        <w:pStyle w:val="NoSpacing"/>
      </w:pPr>
      <w:r w:rsidRPr="007C61CF">
        <w:t>Employees and managers may find additional support through the following organisations:</w:t>
      </w:r>
    </w:p>
    <w:p w14:paraId="5832C418" w14:textId="77777777" w:rsidR="007C61CF" w:rsidRPr="007C61CF" w:rsidRDefault="007C61CF" w:rsidP="007C61CF">
      <w:pPr>
        <w:pStyle w:val="NoSpacing"/>
        <w:numPr>
          <w:ilvl w:val="0"/>
          <w:numId w:val="15"/>
        </w:numPr>
      </w:pPr>
      <w:r w:rsidRPr="007C61CF">
        <w:rPr>
          <w:b/>
          <w:bCs/>
        </w:rPr>
        <w:t>British Dyslexia Association</w:t>
      </w:r>
      <w:r w:rsidRPr="007C61CF">
        <w:t xml:space="preserve"> – Awareness, resources and tools for dyslexia</w:t>
      </w:r>
    </w:p>
    <w:p w14:paraId="2E99BFE3" w14:textId="77777777" w:rsidR="007C61CF" w:rsidRPr="007C61CF" w:rsidRDefault="007C61CF" w:rsidP="007C61CF">
      <w:pPr>
        <w:pStyle w:val="NoSpacing"/>
        <w:numPr>
          <w:ilvl w:val="0"/>
          <w:numId w:val="15"/>
        </w:numPr>
      </w:pPr>
      <w:r w:rsidRPr="007C61CF">
        <w:rPr>
          <w:b/>
          <w:bCs/>
        </w:rPr>
        <w:t>The Dyslexia Association</w:t>
      </w:r>
      <w:r w:rsidRPr="007C61CF">
        <w:t xml:space="preserve"> – Support services for children and adults</w:t>
      </w:r>
    </w:p>
    <w:p w14:paraId="5B6321E8" w14:textId="77777777" w:rsidR="007C61CF" w:rsidRPr="007C61CF" w:rsidRDefault="007C61CF" w:rsidP="007C61CF">
      <w:pPr>
        <w:pStyle w:val="NoSpacing"/>
        <w:numPr>
          <w:ilvl w:val="0"/>
          <w:numId w:val="15"/>
        </w:numPr>
      </w:pPr>
      <w:r w:rsidRPr="007C61CF">
        <w:rPr>
          <w:b/>
          <w:bCs/>
        </w:rPr>
        <w:t>Remploy</w:t>
      </w:r>
      <w:r w:rsidRPr="007C61CF">
        <w:t xml:space="preserve"> – Workplace support for disabled individuals</w:t>
      </w:r>
    </w:p>
    <w:p w14:paraId="0518B533" w14:textId="77777777" w:rsidR="007C61CF" w:rsidRPr="007C61CF" w:rsidRDefault="007C61CF" w:rsidP="007C61CF">
      <w:pPr>
        <w:pStyle w:val="NoSpacing"/>
        <w:numPr>
          <w:ilvl w:val="0"/>
          <w:numId w:val="15"/>
        </w:numPr>
      </w:pPr>
      <w:r w:rsidRPr="007C61CF">
        <w:rPr>
          <w:b/>
          <w:bCs/>
        </w:rPr>
        <w:t>Dyslexia Action</w:t>
      </w:r>
      <w:r w:rsidRPr="007C61CF">
        <w:t xml:space="preserve"> – Support for dyslexia and dyscalculia</w:t>
      </w:r>
    </w:p>
    <w:p w14:paraId="1FEC18EE" w14:textId="77777777" w:rsidR="007C61CF" w:rsidRPr="007C61CF" w:rsidRDefault="007C61CF" w:rsidP="007C61CF">
      <w:pPr>
        <w:pStyle w:val="NoSpacing"/>
        <w:numPr>
          <w:ilvl w:val="0"/>
          <w:numId w:val="15"/>
        </w:numPr>
      </w:pPr>
      <w:r w:rsidRPr="007C61CF">
        <w:rPr>
          <w:b/>
          <w:bCs/>
        </w:rPr>
        <w:t>The Dyspraxia Foundation</w:t>
      </w:r>
      <w:r w:rsidRPr="007C61CF">
        <w:t xml:space="preserve"> – Guidance for individuals with dyspraxia</w:t>
      </w:r>
    </w:p>
    <w:p w14:paraId="3F852D2A" w14:textId="77777777" w:rsidR="007C61CF" w:rsidRPr="007C61CF" w:rsidRDefault="007C61CF" w:rsidP="007C61CF">
      <w:pPr>
        <w:pStyle w:val="NoSpacing"/>
        <w:numPr>
          <w:ilvl w:val="0"/>
          <w:numId w:val="15"/>
        </w:numPr>
      </w:pPr>
      <w:r w:rsidRPr="007C61CF">
        <w:rPr>
          <w:b/>
          <w:bCs/>
        </w:rPr>
        <w:t>The National Autistic Society</w:t>
      </w:r>
      <w:r w:rsidRPr="007C61CF">
        <w:t xml:space="preserve"> – Information and support for autism</w:t>
      </w:r>
    </w:p>
    <w:p w14:paraId="732281C4" w14:textId="77777777" w:rsidR="007C61CF" w:rsidRPr="007C61CF" w:rsidRDefault="007C61CF" w:rsidP="007C61CF">
      <w:pPr>
        <w:pStyle w:val="NoSpacing"/>
        <w:numPr>
          <w:ilvl w:val="0"/>
          <w:numId w:val="15"/>
        </w:numPr>
      </w:pPr>
      <w:r w:rsidRPr="007C61CF">
        <w:rPr>
          <w:b/>
          <w:bCs/>
        </w:rPr>
        <w:t>Access to Work</w:t>
      </w:r>
      <w:r w:rsidRPr="007C61CF">
        <w:t xml:space="preserve"> – Government-funded workplace support for disabled employees</w:t>
      </w:r>
    </w:p>
    <w:p w14:paraId="0DD9306C" w14:textId="77777777" w:rsidR="007C61CF" w:rsidRPr="007C61CF" w:rsidRDefault="007C61CF" w:rsidP="007C61CF">
      <w:pPr>
        <w:pStyle w:val="NoSpacing"/>
      </w:pPr>
      <w:r w:rsidRPr="007C61CF">
        <w:t>These organisations provide valuable information that can help employees better understand and manage their needs.</w:t>
      </w:r>
    </w:p>
    <w:p w14:paraId="60234838" w14:textId="374A716E" w:rsidR="007C61CF" w:rsidRPr="007C61CF" w:rsidRDefault="007C61CF" w:rsidP="007C61CF">
      <w:pPr>
        <w:pStyle w:val="NoSpacing"/>
      </w:pPr>
    </w:p>
    <w:p w14:paraId="449673E5" w14:textId="77777777" w:rsidR="007C61CF" w:rsidRPr="007C61CF" w:rsidRDefault="007C61CF" w:rsidP="007C61CF">
      <w:pPr>
        <w:pStyle w:val="NoSpacing"/>
        <w:rPr>
          <w:b/>
          <w:bCs/>
        </w:rPr>
      </w:pPr>
      <w:r w:rsidRPr="007C61CF">
        <w:rPr>
          <w:b/>
          <w:bCs/>
        </w:rPr>
        <w:t>6. Review of Policy</w:t>
      </w:r>
    </w:p>
    <w:p w14:paraId="5AE8F314" w14:textId="77777777" w:rsidR="007C61CF" w:rsidRPr="007C61CF" w:rsidRDefault="007C61CF" w:rsidP="007C61CF">
      <w:pPr>
        <w:pStyle w:val="NoSpacing"/>
      </w:pPr>
      <w:r w:rsidRPr="007C61CF">
        <w:t>This policy will be reviewed annually and updated where required to ensure it remains relevant, supportive and aligned with best practice.</w:t>
      </w:r>
    </w:p>
    <w:p w14:paraId="27A3392F" w14:textId="310038BA" w:rsidR="00297FDC" w:rsidRDefault="00297FDC" w:rsidP="003B2180">
      <w:pPr>
        <w:pStyle w:val="NoSpacing"/>
      </w:pPr>
    </w:p>
    <w:p w14:paraId="085ADC2D" w14:textId="7D792520" w:rsidR="00984E67" w:rsidRPr="00E750D0" w:rsidRDefault="00E750D0" w:rsidP="00557356">
      <w:pPr>
        <w:pStyle w:val="NoSpacing"/>
      </w:pPr>
      <w:r>
        <w:rPr>
          <w:noProof/>
        </w:rPr>
        <w:drawing>
          <wp:inline distT="0" distB="0" distL="0" distR="0" wp14:anchorId="165B21E2" wp14:editId="412F9193">
            <wp:extent cx="2362200" cy="981075"/>
            <wp:effectExtent l="0" t="0" r="0" b="9525"/>
            <wp:docPr id="1633279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279190" name=""/>
                    <pic:cNvPicPr/>
                  </pic:nvPicPr>
                  <pic:blipFill>
                    <a:blip r:embed="rId12"/>
                    <a:stretch>
                      <a:fillRect/>
                    </a:stretch>
                  </pic:blipFill>
                  <pic:spPr>
                    <a:xfrm>
                      <a:off x="0" y="0"/>
                      <a:ext cx="2362200" cy="981075"/>
                    </a:xfrm>
                    <a:prstGeom prst="rect">
                      <a:avLst/>
                    </a:prstGeom>
                  </pic:spPr>
                </pic:pic>
              </a:graphicData>
            </a:graphic>
          </wp:inline>
        </w:drawing>
      </w:r>
    </w:p>
    <w:p w14:paraId="7B90B851" w14:textId="77777777" w:rsidR="007C61CF" w:rsidRDefault="007C61CF" w:rsidP="00557356">
      <w:pPr>
        <w:pStyle w:val="NoSpacing"/>
        <w:rPr>
          <w:sz w:val="24"/>
          <w:szCs w:val="24"/>
        </w:rPr>
      </w:pPr>
    </w:p>
    <w:p w14:paraId="641CEF0C" w14:textId="07D31572" w:rsidR="00557356" w:rsidRPr="00984E67" w:rsidRDefault="007B3BA2" w:rsidP="00557356">
      <w:pPr>
        <w:pStyle w:val="NoSpacing"/>
        <w:rPr>
          <w:sz w:val="24"/>
          <w:szCs w:val="24"/>
        </w:rPr>
      </w:pPr>
      <w:r w:rsidRPr="00984E67">
        <w:rPr>
          <w:sz w:val="24"/>
          <w:szCs w:val="24"/>
        </w:rPr>
        <w:t>Chris Stevenson</w:t>
      </w:r>
    </w:p>
    <w:p w14:paraId="3F05D233" w14:textId="447456E0" w:rsidR="007B3BA2" w:rsidRPr="00984E67" w:rsidRDefault="007B3BA2" w:rsidP="00557356">
      <w:pPr>
        <w:pStyle w:val="NoSpacing"/>
        <w:rPr>
          <w:sz w:val="24"/>
          <w:szCs w:val="24"/>
        </w:rPr>
      </w:pPr>
      <w:r w:rsidRPr="00984E67">
        <w:rPr>
          <w:sz w:val="24"/>
          <w:szCs w:val="24"/>
        </w:rPr>
        <w:t>Managing Director</w:t>
      </w:r>
    </w:p>
    <w:p w14:paraId="59FD518B" w14:textId="5C5A892B" w:rsidR="007B3BA2" w:rsidRPr="00984E67" w:rsidRDefault="007B3BA2" w:rsidP="00F92930">
      <w:pPr>
        <w:pStyle w:val="NoSpacing"/>
        <w:rPr>
          <w:sz w:val="24"/>
          <w:szCs w:val="24"/>
        </w:rPr>
      </w:pPr>
      <w:r w:rsidRPr="00984E67">
        <w:rPr>
          <w:sz w:val="24"/>
          <w:szCs w:val="24"/>
        </w:rPr>
        <w:t>CS Utility Contractors Ltd</w:t>
      </w:r>
    </w:p>
    <w:p w14:paraId="76E62CE1" w14:textId="77777777" w:rsidR="00E559D0" w:rsidRPr="00E559D0" w:rsidRDefault="00E559D0" w:rsidP="00E559D0">
      <w:pPr>
        <w:pStyle w:val="NoSpacing"/>
        <w:rPr>
          <w:sz w:val="24"/>
          <w:szCs w:val="24"/>
        </w:rPr>
      </w:pPr>
      <w:r w:rsidRPr="00E559D0">
        <w:rPr>
          <w:sz w:val="24"/>
          <w:szCs w:val="24"/>
        </w:rPr>
        <w:t>Amended/Effective From: 08/01/2026</w:t>
      </w:r>
    </w:p>
    <w:p w14:paraId="7754A7F3" w14:textId="77777777" w:rsidR="00E559D0" w:rsidRPr="00E559D0" w:rsidRDefault="00E559D0" w:rsidP="00E559D0">
      <w:pPr>
        <w:pStyle w:val="NoSpacing"/>
        <w:rPr>
          <w:sz w:val="24"/>
          <w:szCs w:val="24"/>
        </w:rPr>
      </w:pPr>
      <w:r w:rsidRPr="00E559D0">
        <w:rPr>
          <w:sz w:val="24"/>
          <w:szCs w:val="24"/>
        </w:rPr>
        <w:t>Reviewed Annually (Next Jan 2027)</w:t>
      </w:r>
    </w:p>
    <w:p w14:paraId="60B1A99F" w14:textId="77777777" w:rsidR="00862EDC" w:rsidRPr="00C15C3D" w:rsidRDefault="00862EDC" w:rsidP="007B3BA2">
      <w:pPr>
        <w:pStyle w:val="NoSpacing"/>
        <w:ind w:firstLine="720"/>
        <w:rPr>
          <w:sz w:val="18"/>
          <w:szCs w:val="18"/>
        </w:rPr>
      </w:pPr>
    </w:p>
    <w:sectPr w:rsidR="00862EDC" w:rsidRPr="00C15C3D" w:rsidSect="001640D4">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E3C7" w14:textId="77777777" w:rsidR="00E312AE" w:rsidRDefault="00E312AE" w:rsidP="00875417">
      <w:pPr>
        <w:spacing w:after="0" w:line="240" w:lineRule="auto"/>
      </w:pPr>
      <w:r>
        <w:separator/>
      </w:r>
    </w:p>
  </w:endnote>
  <w:endnote w:type="continuationSeparator" w:id="0">
    <w:p w14:paraId="2BF9D9DF" w14:textId="77777777" w:rsidR="00E312AE" w:rsidRDefault="00E312AE" w:rsidP="00875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F6D1" w14:textId="77777777" w:rsidR="00875417" w:rsidRDefault="00875417">
    <w:pPr>
      <w:pStyle w:val="Footer"/>
    </w:pPr>
    <w:r>
      <w:t>Company Registration Number: 8765604</w:t>
    </w:r>
    <w:r>
      <w:tab/>
      <w:t xml:space="preserve">                                   VAT Registration Number: 176971263</w:t>
    </w:r>
  </w:p>
  <w:p w14:paraId="25A69DC6" w14:textId="77777777" w:rsidR="00875417" w:rsidRDefault="00875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4EDE0" w14:textId="77777777" w:rsidR="00E312AE" w:rsidRDefault="00E312AE" w:rsidP="00875417">
      <w:pPr>
        <w:spacing w:after="0" w:line="240" w:lineRule="auto"/>
      </w:pPr>
      <w:r>
        <w:separator/>
      </w:r>
    </w:p>
  </w:footnote>
  <w:footnote w:type="continuationSeparator" w:id="0">
    <w:p w14:paraId="7C391C89" w14:textId="77777777" w:rsidR="00E312AE" w:rsidRDefault="00E312AE" w:rsidP="008754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18FA"/>
    <w:multiLevelType w:val="hybridMultilevel"/>
    <w:tmpl w:val="C11CD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25E32"/>
    <w:multiLevelType w:val="hybridMultilevel"/>
    <w:tmpl w:val="DFD82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45D87"/>
    <w:multiLevelType w:val="multilevel"/>
    <w:tmpl w:val="A454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453F9"/>
    <w:multiLevelType w:val="hybridMultilevel"/>
    <w:tmpl w:val="6BF2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567834"/>
    <w:multiLevelType w:val="multilevel"/>
    <w:tmpl w:val="56F8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D12B58"/>
    <w:multiLevelType w:val="hybridMultilevel"/>
    <w:tmpl w:val="151AD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8A3AA7"/>
    <w:multiLevelType w:val="multilevel"/>
    <w:tmpl w:val="D470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0E2C73"/>
    <w:multiLevelType w:val="multilevel"/>
    <w:tmpl w:val="D70E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5718B4"/>
    <w:multiLevelType w:val="multilevel"/>
    <w:tmpl w:val="A852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9646F8"/>
    <w:multiLevelType w:val="multilevel"/>
    <w:tmpl w:val="C0B2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072279"/>
    <w:multiLevelType w:val="multilevel"/>
    <w:tmpl w:val="5ACA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991F26"/>
    <w:multiLevelType w:val="multilevel"/>
    <w:tmpl w:val="3BA8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D87B59"/>
    <w:multiLevelType w:val="multilevel"/>
    <w:tmpl w:val="D092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6575D0"/>
    <w:multiLevelType w:val="multilevel"/>
    <w:tmpl w:val="DFD2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3D6BDF"/>
    <w:multiLevelType w:val="multilevel"/>
    <w:tmpl w:val="25D6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3068435">
    <w:abstractNumId w:val="3"/>
  </w:num>
  <w:num w:numId="2" w16cid:durableId="1591890126">
    <w:abstractNumId w:val="11"/>
  </w:num>
  <w:num w:numId="3" w16cid:durableId="658996795">
    <w:abstractNumId w:val="10"/>
  </w:num>
  <w:num w:numId="4" w16cid:durableId="208806380">
    <w:abstractNumId w:val="5"/>
  </w:num>
  <w:num w:numId="5" w16cid:durableId="2141610213">
    <w:abstractNumId w:val="0"/>
  </w:num>
  <w:num w:numId="6" w16cid:durableId="291136988">
    <w:abstractNumId w:val="1"/>
  </w:num>
  <w:num w:numId="7" w16cid:durableId="1651053809">
    <w:abstractNumId w:val="14"/>
  </w:num>
  <w:num w:numId="8" w16cid:durableId="1016351409">
    <w:abstractNumId w:val="4"/>
  </w:num>
  <w:num w:numId="9" w16cid:durableId="998656794">
    <w:abstractNumId w:val="7"/>
  </w:num>
  <w:num w:numId="10" w16cid:durableId="1986618667">
    <w:abstractNumId w:val="2"/>
  </w:num>
  <w:num w:numId="11" w16cid:durableId="1042904945">
    <w:abstractNumId w:val="13"/>
  </w:num>
  <w:num w:numId="12" w16cid:durableId="1001354509">
    <w:abstractNumId w:val="12"/>
  </w:num>
  <w:num w:numId="13" w16cid:durableId="1465659252">
    <w:abstractNumId w:val="8"/>
  </w:num>
  <w:num w:numId="14" w16cid:durableId="876939682">
    <w:abstractNumId w:val="9"/>
  </w:num>
  <w:num w:numId="15" w16cid:durableId="8209295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22"/>
    <w:rsid w:val="00051B82"/>
    <w:rsid w:val="000C205A"/>
    <w:rsid w:val="00100508"/>
    <w:rsid w:val="001279FB"/>
    <w:rsid w:val="00151AE4"/>
    <w:rsid w:val="001640D4"/>
    <w:rsid w:val="00167C50"/>
    <w:rsid w:val="00181AF5"/>
    <w:rsid w:val="001879A6"/>
    <w:rsid w:val="001C297B"/>
    <w:rsid w:val="001D4C08"/>
    <w:rsid w:val="001E76BF"/>
    <w:rsid w:val="001F2265"/>
    <w:rsid w:val="00242A85"/>
    <w:rsid w:val="0026651E"/>
    <w:rsid w:val="00276954"/>
    <w:rsid w:val="00290CD4"/>
    <w:rsid w:val="00297FDC"/>
    <w:rsid w:val="002C5EB3"/>
    <w:rsid w:val="002D3B5F"/>
    <w:rsid w:val="002D54D1"/>
    <w:rsid w:val="002D7564"/>
    <w:rsid w:val="002E2892"/>
    <w:rsid w:val="002E5BB8"/>
    <w:rsid w:val="00306AAA"/>
    <w:rsid w:val="00306B42"/>
    <w:rsid w:val="0033615F"/>
    <w:rsid w:val="003445E2"/>
    <w:rsid w:val="003558D2"/>
    <w:rsid w:val="003A6521"/>
    <w:rsid w:val="003B2180"/>
    <w:rsid w:val="003E0879"/>
    <w:rsid w:val="004429E1"/>
    <w:rsid w:val="004C606A"/>
    <w:rsid w:val="004D1EA8"/>
    <w:rsid w:val="004D32A6"/>
    <w:rsid w:val="004E342E"/>
    <w:rsid w:val="00504C76"/>
    <w:rsid w:val="00522089"/>
    <w:rsid w:val="005265DE"/>
    <w:rsid w:val="00557356"/>
    <w:rsid w:val="00590B3E"/>
    <w:rsid w:val="005A57FA"/>
    <w:rsid w:val="005E2BFC"/>
    <w:rsid w:val="0060181D"/>
    <w:rsid w:val="006368E6"/>
    <w:rsid w:val="00685C89"/>
    <w:rsid w:val="00696A9D"/>
    <w:rsid w:val="006A233A"/>
    <w:rsid w:val="006C125B"/>
    <w:rsid w:val="00704AE8"/>
    <w:rsid w:val="00735483"/>
    <w:rsid w:val="00771258"/>
    <w:rsid w:val="00780EC6"/>
    <w:rsid w:val="00784C64"/>
    <w:rsid w:val="007A5310"/>
    <w:rsid w:val="007B3BA2"/>
    <w:rsid w:val="007C21B1"/>
    <w:rsid w:val="007C61CF"/>
    <w:rsid w:val="007E2850"/>
    <w:rsid w:val="00802021"/>
    <w:rsid w:val="00842D73"/>
    <w:rsid w:val="0085434C"/>
    <w:rsid w:val="0085464C"/>
    <w:rsid w:val="00862EDC"/>
    <w:rsid w:val="008657E0"/>
    <w:rsid w:val="00875417"/>
    <w:rsid w:val="008962CD"/>
    <w:rsid w:val="008B66FD"/>
    <w:rsid w:val="008F552F"/>
    <w:rsid w:val="008F74EB"/>
    <w:rsid w:val="00940AD6"/>
    <w:rsid w:val="00984E67"/>
    <w:rsid w:val="0099370C"/>
    <w:rsid w:val="00997DE2"/>
    <w:rsid w:val="009C4A62"/>
    <w:rsid w:val="009D6C14"/>
    <w:rsid w:val="009E4387"/>
    <w:rsid w:val="00A154CB"/>
    <w:rsid w:val="00A363D4"/>
    <w:rsid w:val="00A9495C"/>
    <w:rsid w:val="00B00852"/>
    <w:rsid w:val="00B315CC"/>
    <w:rsid w:val="00B34246"/>
    <w:rsid w:val="00B35741"/>
    <w:rsid w:val="00B41538"/>
    <w:rsid w:val="00B471B9"/>
    <w:rsid w:val="00B570D1"/>
    <w:rsid w:val="00B66C53"/>
    <w:rsid w:val="00BA0701"/>
    <w:rsid w:val="00BB6529"/>
    <w:rsid w:val="00BC140E"/>
    <w:rsid w:val="00BD6543"/>
    <w:rsid w:val="00BE1CE7"/>
    <w:rsid w:val="00BE34ED"/>
    <w:rsid w:val="00BE61AD"/>
    <w:rsid w:val="00BF0848"/>
    <w:rsid w:val="00C15C3D"/>
    <w:rsid w:val="00C400C1"/>
    <w:rsid w:val="00C41807"/>
    <w:rsid w:val="00C70821"/>
    <w:rsid w:val="00C73BB2"/>
    <w:rsid w:val="00CD3668"/>
    <w:rsid w:val="00CD63CC"/>
    <w:rsid w:val="00CE22A5"/>
    <w:rsid w:val="00D1718F"/>
    <w:rsid w:val="00D30B9B"/>
    <w:rsid w:val="00DA3A15"/>
    <w:rsid w:val="00DB101D"/>
    <w:rsid w:val="00DB7EE5"/>
    <w:rsid w:val="00DD5DB6"/>
    <w:rsid w:val="00DF4209"/>
    <w:rsid w:val="00DF500B"/>
    <w:rsid w:val="00DF7901"/>
    <w:rsid w:val="00E06B0D"/>
    <w:rsid w:val="00E172BA"/>
    <w:rsid w:val="00E312AE"/>
    <w:rsid w:val="00E320C1"/>
    <w:rsid w:val="00E559D0"/>
    <w:rsid w:val="00E737D0"/>
    <w:rsid w:val="00E750D0"/>
    <w:rsid w:val="00E81647"/>
    <w:rsid w:val="00EB104C"/>
    <w:rsid w:val="00F2342B"/>
    <w:rsid w:val="00F2575F"/>
    <w:rsid w:val="00F552C2"/>
    <w:rsid w:val="00F646DD"/>
    <w:rsid w:val="00F92930"/>
    <w:rsid w:val="00F95BE5"/>
    <w:rsid w:val="00FC0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EB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0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522"/>
    <w:rPr>
      <w:rFonts w:ascii="Tahoma" w:hAnsi="Tahoma" w:cs="Tahoma"/>
      <w:sz w:val="16"/>
      <w:szCs w:val="16"/>
    </w:rPr>
  </w:style>
  <w:style w:type="paragraph" w:styleId="NoSpacing">
    <w:name w:val="No Spacing"/>
    <w:uiPriority w:val="1"/>
    <w:qFormat/>
    <w:rsid w:val="00FC0522"/>
    <w:pPr>
      <w:spacing w:after="0" w:line="240" w:lineRule="auto"/>
    </w:pPr>
  </w:style>
  <w:style w:type="paragraph" w:styleId="Header">
    <w:name w:val="header"/>
    <w:basedOn w:val="Normal"/>
    <w:link w:val="HeaderChar"/>
    <w:uiPriority w:val="99"/>
    <w:unhideWhenUsed/>
    <w:rsid w:val="00875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417"/>
  </w:style>
  <w:style w:type="paragraph" w:styleId="Footer">
    <w:name w:val="footer"/>
    <w:basedOn w:val="Normal"/>
    <w:link w:val="FooterChar"/>
    <w:uiPriority w:val="99"/>
    <w:unhideWhenUsed/>
    <w:rsid w:val="00875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417"/>
  </w:style>
  <w:style w:type="paragraph" w:styleId="Title">
    <w:name w:val="Title"/>
    <w:basedOn w:val="Normal"/>
    <w:next w:val="Normal"/>
    <w:link w:val="TitleChar"/>
    <w:uiPriority w:val="10"/>
    <w:qFormat/>
    <w:rsid w:val="003B21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18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4778">
      <w:bodyDiv w:val="1"/>
      <w:marLeft w:val="0"/>
      <w:marRight w:val="0"/>
      <w:marTop w:val="0"/>
      <w:marBottom w:val="0"/>
      <w:divBdr>
        <w:top w:val="none" w:sz="0" w:space="0" w:color="auto"/>
        <w:left w:val="none" w:sz="0" w:space="0" w:color="auto"/>
        <w:bottom w:val="none" w:sz="0" w:space="0" w:color="auto"/>
        <w:right w:val="none" w:sz="0" w:space="0" w:color="auto"/>
      </w:divBdr>
    </w:div>
    <w:div w:id="738483584">
      <w:bodyDiv w:val="1"/>
      <w:marLeft w:val="0"/>
      <w:marRight w:val="0"/>
      <w:marTop w:val="0"/>
      <w:marBottom w:val="0"/>
      <w:divBdr>
        <w:top w:val="none" w:sz="0" w:space="0" w:color="auto"/>
        <w:left w:val="none" w:sz="0" w:space="0" w:color="auto"/>
        <w:bottom w:val="none" w:sz="0" w:space="0" w:color="auto"/>
        <w:right w:val="none" w:sz="0" w:space="0" w:color="auto"/>
      </w:divBdr>
    </w:div>
    <w:div w:id="745227188">
      <w:bodyDiv w:val="1"/>
      <w:marLeft w:val="0"/>
      <w:marRight w:val="0"/>
      <w:marTop w:val="0"/>
      <w:marBottom w:val="0"/>
      <w:divBdr>
        <w:top w:val="none" w:sz="0" w:space="0" w:color="auto"/>
        <w:left w:val="none" w:sz="0" w:space="0" w:color="auto"/>
        <w:bottom w:val="none" w:sz="0" w:space="0" w:color="auto"/>
        <w:right w:val="none" w:sz="0" w:space="0" w:color="auto"/>
      </w:divBdr>
    </w:div>
    <w:div w:id="1996258379">
      <w:bodyDiv w:val="1"/>
      <w:marLeft w:val="0"/>
      <w:marRight w:val="0"/>
      <w:marTop w:val="0"/>
      <w:marBottom w:val="0"/>
      <w:divBdr>
        <w:top w:val="none" w:sz="0" w:space="0" w:color="auto"/>
        <w:left w:val="none" w:sz="0" w:space="0" w:color="auto"/>
        <w:bottom w:val="none" w:sz="0" w:space="0" w:color="auto"/>
        <w:right w:val="none" w:sz="0" w:space="0" w:color="auto"/>
      </w:divBdr>
    </w:div>
    <w:div w:id="212206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c79adc-78ca-4d15-8cda-8b073836cd19" xsi:nil="true"/>
    <lcf76f155ced4ddcb4097134ff3c332f xmlns="3b243430-ddb4-4c20-8912-96c8c4d2cd5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DD0698BACA4BD48AB6E05528B0B23D4" ma:contentTypeVersion="18" ma:contentTypeDescription="Create a new document." ma:contentTypeScope="" ma:versionID="a9bce2406d385e59055476daf1d3e67b">
  <xsd:schema xmlns:xsd="http://www.w3.org/2001/XMLSchema" xmlns:xs="http://www.w3.org/2001/XMLSchema" xmlns:p="http://schemas.microsoft.com/office/2006/metadata/properties" xmlns:ns2="3b243430-ddb4-4c20-8912-96c8c4d2cd50" xmlns:ns3="5fc79adc-78ca-4d15-8cda-8b073836cd19" targetNamespace="http://schemas.microsoft.com/office/2006/metadata/properties" ma:root="true" ma:fieldsID="d7f4f56f5eb7f45bfbea6f7ba074c3df" ns2:_="" ns3:_="">
    <xsd:import namespace="3b243430-ddb4-4c20-8912-96c8c4d2cd50"/>
    <xsd:import namespace="5fc79adc-78ca-4d15-8cda-8b073836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43430-ddb4-4c20-8912-96c8c4d2c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feb8b3-9c45-437a-a0d2-383fa46933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c79adc-78ca-4d15-8cda-8b073836cd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387ab4-feeb-456b-b78b-412c93c7f7ed}" ma:internalName="TaxCatchAll" ma:showField="CatchAllData" ma:web="5fc79adc-78ca-4d15-8cda-8b073836c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AEE23-7500-4C6E-B5C9-059B41EB6A76}">
  <ds:schemaRefs>
    <ds:schemaRef ds:uri="http://schemas.microsoft.com/office/2006/metadata/properties"/>
    <ds:schemaRef ds:uri="http://schemas.microsoft.com/office/infopath/2007/PartnerControls"/>
    <ds:schemaRef ds:uri="5fc79adc-78ca-4d15-8cda-8b073836cd19"/>
    <ds:schemaRef ds:uri="3b243430-ddb4-4c20-8912-96c8c4d2cd50"/>
  </ds:schemaRefs>
</ds:datastoreItem>
</file>

<file path=customXml/itemProps2.xml><?xml version="1.0" encoding="utf-8"?>
<ds:datastoreItem xmlns:ds="http://schemas.openxmlformats.org/officeDocument/2006/customXml" ds:itemID="{C5CCD062-B26B-436B-9B04-3E33612962C6}">
  <ds:schemaRefs>
    <ds:schemaRef ds:uri="http://schemas.openxmlformats.org/officeDocument/2006/bibliography"/>
  </ds:schemaRefs>
</ds:datastoreItem>
</file>

<file path=customXml/itemProps3.xml><?xml version="1.0" encoding="utf-8"?>
<ds:datastoreItem xmlns:ds="http://schemas.openxmlformats.org/officeDocument/2006/customXml" ds:itemID="{F10EBE44-FBBD-43B0-8FE7-CF7EA820B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43430-ddb4-4c20-8912-96c8c4d2cd50"/>
    <ds:schemaRef ds:uri="5fc79adc-78ca-4d15-8cda-8b073836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D28EA4-68C7-4474-B127-B0A2DE8A14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Info</cp:lastModifiedBy>
  <cp:revision>8</cp:revision>
  <cp:lastPrinted>2023-10-17T11:30:00Z</cp:lastPrinted>
  <dcterms:created xsi:type="dcterms:W3CDTF">2025-06-06T08:58:00Z</dcterms:created>
  <dcterms:modified xsi:type="dcterms:W3CDTF">2026-01-07T12:51:00Z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0x0101000DD0698BACA4BD48AB6E05528B0B23D4</vt:lpwstr>
  </property>
  <property fmtid="{D5CDD505-2E9C-101B-9397-08002B2CF9AE}" pid="3" name="MediaServiceImageTags">
    <vt:lpwstr/>
  </property>
</Properties>
</file>